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58.png" ContentType="image/png"/>
  <Override PartName="/word/media/rId62.png" ContentType="image/png"/>
  <Override PartName="/word/media/rId67.png" ContentType="image/png"/>
  <Override PartName="/word/media/rId104.png" ContentType="image/png"/>
  <Override PartName="/word/media/rId114.png" ContentType="image/png"/>
  <Override PartName="/word/media/rId109.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of climate warming will have on opportunity for selection.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4.2.1) using</w:t>
      </w:r>
      <w:r>
        <w:t xml:space="preserve"> </w:t>
      </w:r>
      <w:r>
        <w:rPr>
          <w:iCs/>
          <w:i/>
        </w:rPr>
        <w:t xml:space="preserve">brms</w:t>
      </w:r>
      <w:r>
        <w:t xml:space="preserve"> </w:t>
      </w:r>
      <w:r>
        <w:t xml:space="preserve">(vers. 2.19.0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4.2.0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3.0.14,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3.6.2,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1.5.1,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7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0.96; Adult-Jeuvenile (Acclimation): 0.05, 95% CI: -0.16 to 0.38,</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and species specific ecoloogy explained little variation in acute and acclimation repsonses (Species: 2.39% , 95% CI: 0.01 to 8.1%; Phylogeny: 2.89% , 95% CI: 0 to 12.94%).</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57"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physiologiocal rate variance at high temperatures (8.62%, 95% CI: 0.41 to 21.78,</w:t>
      </w:r>
      <w:r>
        <w:t xml:space="preserve"> </w:t>
      </w:r>
      <m:oMath>
        <m:sSub>
          <m:e>
            <m:r>
              <m:t>p</m:t>
            </m:r>
          </m:e>
          <m:sub>
            <m:r>
              <m:t>M</m:t>
            </m:r>
            <m:r>
              <m:t>C</m:t>
            </m:r>
            <m:r>
              <m:t>M</m:t>
            </m:r>
            <m:r>
              <m:t>C</m:t>
            </m:r>
          </m:sub>
        </m:sSub>
      </m:oMath>
      <w:r>
        <w:t xml:space="preserve"> </w:t>
      </w:r>
      <w:r>
        <w:t xml:space="preserve">= 0.33).</w:t>
      </w:r>
    </w:p>
    <w:bookmarkEnd w:id="57"/>
    <w:bookmarkStart w:id="66"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(-0.01, 95%CI: -0.14 to 0.12,</w:t>
      </w:r>
      <w:r>
        <w:t xml:space="preserve"> </w:t>
      </w:r>
      <m:oMath>
        <m:sSub>
          <m:e>
            <m:r>
              <m:t>p</m:t>
            </m:r>
          </m:e>
          <m:sub>
            <m:r>
              <m:t>M</m:t>
            </m:r>
            <m:r>
              <m:t>C</m:t>
            </m:r>
            <m:r>
              <m:t>M</m:t>
            </m:r>
            <m:r>
              <m:t>C</m:t>
            </m:r>
          </m:sub>
        </m:sSub>
      </m:oMath>
      <w:r>
        <w:t xml:space="preserve"> </w:t>
      </w:r>
      <w:r>
        <w:t xml:space="preserve">= 0.9;</w:t>
      </w:r>
      <w:r>
        <w:t xml:space="preserve"> </w:t>
      </w:r>
      <m:oMath>
        <m:sSup>
          <m:e>
            <m:r>
              <m:t>R</m:t>
            </m:r>
          </m:e>
          <m:sup>
            <m:r>
              <m:t>2</m:t>
            </m:r>
          </m:sup>
        </m:sSup>
      </m:oMath>
      <w:r>
        <w:t xml:space="preserve"> </w:t>
      </w:r>
      <w:r>
        <w:t xml:space="preserve">= 14.12%).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across any of the habitats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1" w:name="fig-4"/>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4-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 w:name="fig-5"/>
          <w:p>
            <w:pPr>
              <w:pStyle w:val="Figure"/>
              <w:jc w:val="center"/>
            </w:pPr>
            <w:r>
              <w:drawing>
                <wp:inline>
                  <wp:extent cx="6680200" cy="7087529"/>
                  <wp:effectExtent b="0" l="0" r="0" t="0"/>
                  <wp:docPr descr="" title="" id="63" name="Picture"/>
                  <a:graphic>
                    <a:graphicData uri="http://schemas.openxmlformats.org/drawingml/2006/picture">
                      <pic:pic>
                        <pic:nvPicPr>
                          <pic:cNvPr descr="ms_files/figure-docx/fig-5-1.png" id="64" name="Picture"/>
                          <pic:cNvPicPr>
                            <a:picLocks noChangeArrowheads="1" noChangeAspect="1"/>
                          </pic:cNvPicPr>
                        </pic:nvPicPr>
                        <pic:blipFill>
                          <a:blip r:embed="rId6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5"/>
        </w:tc>
      </w:tr>
    </w:tbl>
    <w:bookmarkEnd w:id="66"/>
    <w:bookmarkStart w:id="71"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6</w:t>
        </w:r>
      </w:hyperlink>
      <w:r>
        <w:t xml:space="preserve"> </w:t>
      </w:r>
      <w:r>
        <w:t xml:space="preserve">A-C). Projected changes in the opportunity for selection were highly variable across the globe, with some regions showing a decrease in the opportunity for selection, while others showing an increase (</w:t>
      </w:r>
      <w:hyperlink w:anchor="fig-fig6">
        <w:r>
          <w:rPr>
            <w:rStyle w:val="Hyperlink"/>
          </w:rPr>
          <w:t xml:space="preserve">Figure 6</w:t>
        </w:r>
      </w:hyperlink>
      <w:r>
        <w:t xml:space="preserve"> </w:t>
      </w:r>
      <w:r>
        <w:t xml:space="preserve">D). Out of the 188 populations variance was predicted to decrease in 91.49% of the locations. 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-0.84% change in variance for freshwater systems (95% CI: -8.77 to 8.24%,</w:t>
      </w:r>
      <w:r>
        <w:t xml:space="preserve"> </w:t>
      </w:r>
      <m:oMath>
        <m:sSub>
          <m:e>
            <m:r>
              <m:t>p</m:t>
            </m:r>
          </m:e>
          <m:sub>
            <m:r>
              <m:t>M</m:t>
            </m:r>
            <m:r>
              <m:t>C</m:t>
            </m:r>
            <m:r>
              <m:t>M</m:t>
            </m:r>
            <m:r>
              <m:t>C</m:t>
            </m:r>
          </m:sub>
        </m:sSub>
      </m:oMath>
      <w:r>
        <w:t xml:space="preserve"> </w:t>
      </w:r>
      <w:r>
        <w:t xml:space="preserve">= 0.84), whereas we expect a 3.28% reduction in variance for marine systems (95% CI: -7.24 to 2.9%,</w:t>
      </w:r>
      <w:r>
        <w:t xml:space="preserve"> </w:t>
      </w:r>
      <m:oMath>
        <m:sSub>
          <m:e>
            <m:r>
              <m:t>p</m:t>
            </m:r>
          </m:e>
          <m:sub>
            <m:r>
              <m:t>M</m:t>
            </m:r>
            <m:r>
              <m:t>C</m:t>
            </m:r>
            <m:r>
              <m:t>M</m:t>
            </m:r>
            <m:r>
              <m:t>C</m:t>
            </m:r>
          </m:sub>
        </m:sSub>
      </m:oMath>
      <w:r>
        <w:t xml:space="preserve"> </w:t>
      </w:r>
      <w:r>
        <w:t xml:space="preserve">= 0.39) and a 12.72% reduction in variance for terrestrial systems (95% CI: -20.89 to -6.2%,</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0" w:name="fig-fig6"/>
          <w:p>
            <w:pPr>
              <w:pStyle w:val="Figure"/>
              <w:jc w:val="center"/>
            </w:pPr>
            <w:r>
              <w:drawing>
                <wp:inline>
                  <wp:extent cx="6680200" cy="8650002"/>
                  <wp:effectExtent b="0" l="0" r="0" t="0"/>
                  <wp:docPr descr="" title="" id="68" name="Picture"/>
                  <a:graphic>
                    <a:graphicData uri="http://schemas.openxmlformats.org/drawingml/2006/picture">
                      <pic:pic>
                        <pic:nvPicPr>
                          <pic:cNvPr descr="ms_files/figure-docx/fig-fig6-1.png" id="69" name="Picture"/>
                          <pic:cNvPicPr>
                            <a:picLocks noChangeArrowheads="1" noChangeAspect="1"/>
                          </pic:cNvPicPr>
                        </pic:nvPicPr>
                        <pic:blipFill>
                          <a:blip r:embed="rId67"/>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0"/>
        </w:tc>
      </w:tr>
    </w:tbl>
    <w:bookmarkEnd w:id="71"/>
    <w:bookmarkEnd w:id="72"/>
    <w:bookmarkStart w:id="73"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73"/>
    <w:bookmarkStart w:id="103" w:name="references"/>
    <w:p>
      <w:pPr>
        <w:pStyle w:val="Heading2"/>
      </w:pPr>
      <w:r>
        <w:t xml:space="preserve">References</w:t>
      </w:r>
    </w:p>
    <w:p>
      <w:pPr>
        <w:pStyle w:val="FirstParagraph"/>
      </w:pPr>
    </w:p>
    <w:bookmarkStart w:id="102" w:name="refs"/>
    <w:bookmarkStart w:id="74"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4"/>
    <w:bookmarkStart w:id="75"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5"/>
    <w:bookmarkStart w:id="76"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6"/>
    <w:bookmarkStart w:id="77"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7"/>
    <w:bookmarkStart w:id="78"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8"/>
    <w:bookmarkStart w:id="79"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9"/>
    <w:bookmarkStart w:id="80"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80"/>
    <w:bookmarkStart w:id="81"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81"/>
    <w:bookmarkStart w:id="82"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82"/>
    <w:bookmarkStart w:id="83"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83"/>
    <w:bookmarkStart w:id="84"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84"/>
    <w:bookmarkStart w:id="85"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85"/>
    <w:bookmarkStart w:id="86"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86"/>
    <w:bookmarkStart w:id="87"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7"/>
    <w:bookmarkStart w:id="88"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8"/>
    <w:bookmarkStart w:id="89"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9"/>
    <w:bookmarkStart w:id="90"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90"/>
    <w:bookmarkStart w:id="91"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91"/>
    <w:bookmarkStart w:id="92"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92"/>
    <w:bookmarkStart w:id="93"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93"/>
    <w:bookmarkStart w:id="94"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94"/>
    <w:bookmarkStart w:id="95"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95"/>
    <w:bookmarkStart w:id="96"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96"/>
    <w:bookmarkStart w:id="97"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7"/>
    <w:bookmarkStart w:id="98"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8"/>
    <w:bookmarkStart w:id="99"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9"/>
    <w:bookmarkStart w:id="100"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00"/>
    <w:bookmarkStart w:id="101"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01"/>
    <w:bookmarkEnd w:id="102"/>
    <w:p>
      <w:pPr>
        <w:pStyle w:val="BodyText"/>
      </w:pPr>
    </w:p>
    <w:bookmarkEnd w:id="103"/>
    <w:bookmarkStart w:id="119" w:name="supplemental-results-and-figures"/>
    <w:p>
      <w:pPr>
        <w:pStyle w:val="Heading2"/>
      </w:pPr>
      <w:r>
        <w:t xml:space="preserve">Supplemental Results and Figures</w:t>
      </w:r>
    </w:p>
    <w:bookmarkStart w:id="108"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7</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07" w:name="fig-s1"/>
          <w:p>
            <w:pPr>
              <w:pStyle w:val="Figure"/>
              <w:jc w:val="center"/>
            </w:pPr>
            <w:r>
              <w:drawing>
                <wp:inline>
                  <wp:extent cx="6680200" cy="4647095"/>
                  <wp:effectExtent b="0" l="0" r="0" t="0"/>
                  <wp:docPr descr="" title="" id="105" name="Picture"/>
                  <a:graphic>
                    <a:graphicData uri="http://schemas.openxmlformats.org/drawingml/2006/picture">
                      <pic:pic>
                        <pic:nvPicPr>
                          <pic:cNvPr descr="ms_files/figure-docx/fig-s1-1.png" id="106" name="Picture"/>
                          <pic:cNvPicPr>
                            <a:picLocks noChangeArrowheads="1" noChangeAspect="1"/>
                          </pic:cNvPicPr>
                        </pic:nvPicPr>
                        <pic:blipFill>
                          <a:blip r:embed="rId104"/>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lnVR</w:t>
            </w:r>
          </w:p>
          <w:bookmarkEnd w:id="107"/>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7c319010-ca57-47fd-8c27-a34d22814cb9"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c319010-ca57-47fd-8c27-a34d22814cb9"/>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08"/>
    <w:bookmarkStart w:id="113"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12" w:name="fig-s3"/>
          <w:p>
            <w:pPr>
              <w:pStyle w:val="Figure"/>
              <w:jc w:val="center"/>
            </w:pPr>
            <w:r>
              <w:drawing>
                <wp:inline>
                  <wp:extent cx="6680200" cy="2379821"/>
                  <wp:effectExtent b="0" l="0" r="0" t="0"/>
                  <wp:docPr descr="" title="" id="110" name="Picture"/>
                  <a:graphic>
                    <a:graphicData uri="http://schemas.openxmlformats.org/drawingml/2006/picture">
                      <pic:pic>
                        <pic:nvPicPr>
                          <pic:cNvPr descr="ms_files/figure-docx/fig-s3-1.png" id="111" name="Picture"/>
                          <pic:cNvPicPr>
                            <a:picLocks noChangeArrowheads="1" noChangeAspect="1"/>
                          </pic:cNvPicPr>
                        </pic:nvPicPr>
                        <pic:blipFill>
                          <a:blip r:embed="rId109"/>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I2 estimates</w:t>
            </w:r>
          </w:p>
          <w:bookmarkEnd w:id="112"/>
        </w:tc>
      </w:tr>
    </w:tbl>
    <w:bookmarkEnd w:id="113"/>
    <w:bookmarkStart w:id="118"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117" w:name="fig-s2"/>
          <w:p>
            <w:pPr>
              <w:pStyle w:val="Figure"/>
              <w:jc w:val="center"/>
            </w:pPr>
            <w:r>
              <w:drawing>
                <wp:inline>
                  <wp:extent cx="6680200" cy="2788257"/>
                  <wp:effectExtent b="0" l="0" r="0" t="0"/>
                  <wp:docPr descr="" title="" id="115" name="Picture"/>
                  <a:graphic>
                    <a:graphicData uri="http://schemas.openxmlformats.org/drawingml/2006/picture">
                      <pic:pic>
                        <pic:nvPicPr>
                          <pic:cNvPr descr="ms_files/figure-docx/fig-s2-1.png" id="116" name="Picture"/>
                          <pic:cNvPicPr>
                            <a:picLocks noChangeArrowheads="1" noChangeAspect="1"/>
                          </pic:cNvPicPr>
                        </pic:nvPicPr>
                        <pic:blipFill>
                          <a:blip r:embed="rId114"/>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7"/>
        </w:tc>
      </w:tr>
    </w:tbl>
    <w:bookmarkEnd w:id="118"/>
    <w:bookmarkEnd w:id="119"/>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114" Target="media/rId114.png" /><Relationship Type="http://schemas.openxmlformats.org/officeDocument/2006/relationships/image" Id="rId109" Target="media/rId10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2023-06-10T09:01:12Z</dcterms:created>
  <dcterms:modified xsi:type="dcterms:W3CDTF">2023-06-10T09:01:12Z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